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3201"/>
        <w:gridCol w:w="3856"/>
      </w:tblGrid>
      <w:tr w:rsidR="001758C1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6306F6">
            <w:pPr>
              <w:jc w:val="center"/>
            </w:pPr>
            <w:bookmarkStart w:id="0" w:name="_GoBack" w:colFirst="1" w:colLast="1"/>
            <w:r>
              <w:rPr>
                <w:noProof/>
              </w:rPr>
              <w:drawing>
                <wp:inline distT="0" distB="0" distL="0" distR="0">
                  <wp:extent cx="1409897" cy="1428949"/>
                  <wp:effectExtent l="0" t="0" r="0" b="0"/>
                  <wp:docPr id="100000" name="Picture 100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00717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97" cy="142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8C1" w:rsidRDefault="006306F6">
            <w:r>
              <w:rPr>
                <w:rFonts w:ascii="Calibri" w:eastAsia="Calibri" w:hAnsi="Calibri" w:cs="Calibri"/>
                <w:b/>
              </w:rPr>
              <w:t>Job Code: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8C1" w:rsidRDefault="006306F6">
            <w:r>
              <w:rPr>
                <w:rFonts w:ascii="Calibri" w:eastAsia="Calibri" w:hAnsi="Calibri" w:cs="Calibri"/>
              </w:rPr>
              <w:t>70483</w:t>
            </w:r>
          </w:p>
        </w:tc>
      </w:tr>
      <w:bookmarkEnd w:id="0"/>
      <w:tr w:rsidR="001758C1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8C1" w:rsidRDefault="001758C1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8C1" w:rsidRDefault="006306F6">
            <w:r>
              <w:rPr>
                <w:rFonts w:ascii="Calibri" w:eastAsia="Calibri" w:hAnsi="Calibri" w:cs="Calibri"/>
                <w:b/>
              </w:rPr>
              <w:t>Job Title: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8C1" w:rsidRDefault="006306F6">
            <w:r>
              <w:rPr>
                <w:rFonts w:ascii="Calibri" w:eastAsia="Calibri" w:hAnsi="Calibri" w:cs="Calibri"/>
              </w:rPr>
              <w:t>Administrator, SE Asia</w:t>
            </w:r>
          </w:p>
        </w:tc>
      </w:tr>
      <w:tr w:rsidR="001758C1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8C1" w:rsidRDefault="001758C1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8C1" w:rsidRDefault="006306F6">
            <w:r>
              <w:rPr>
                <w:rFonts w:ascii="Calibri" w:eastAsia="Calibri" w:hAnsi="Calibri" w:cs="Calibri"/>
                <w:b/>
              </w:rPr>
              <w:t>Role Designation: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8C1" w:rsidRDefault="006306F6">
            <w:r>
              <w:rPr>
                <w:rFonts w:ascii="Calibri" w:eastAsia="Calibri" w:hAnsi="Calibri" w:cs="Calibri"/>
              </w:rPr>
              <w:t>Administrator</w:t>
            </w:r>
          </w:p>
        </w:tc>
      </w:tr>
      <w:tr w:rsidR="001758C1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8C1" w:rsidRDefault="001758C1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8C1" w:rsidRDefault="006306F6">
            <w:r>
              <w:rPr>
                <w:rFonts w:ascii="Calibri" w:eastAsia="Calibri" w:hAnsi="Calibri" w:cs="Calibri"/>
                <w:b/>
              </w:rPr>
              <w:t>Std Hours: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8C1" w:rsidRDefault="006306F6">
            <w:r>
              <w:rPr>
                <w:rFonts w:ascii="Calibri" w:eastAsia="Calibri" w:hAnsi="Calibri" w:cs="Calibri"/>
              </w:rPr>
              <w:t>35</w:t>
            </w:r>
          </w:p>
        </w:tc>
      </w:tr>
      <w:tr w:rsidR="001758C1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8C1" w:rsidRDefault="001758C1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8C1" w:rsidRDefault="006306F6">
            <w:r>
              <w:rPr>
                <w:rFonts w:ascii="Calibri" w:eastAsia="Calibri" w:hAnsi="Calibri" w:cs="Calibri"/>
                <w:b/>
              </w:rPr>
              <w:t>Layer: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8C1" w:rsidRDefault="006306F6">
            <w:r>
              <w:rPr>
                <w:rFonts w:ascii="Calibri" w:eastAsia="Calibri" w:hAnsi="Calibri" w:cs="Calibri"/>
              </w:rPr>
              <w:t>Individual Contributor</w:t>
            </w:r>
          </w:p>
        </w:tc>
      </w:tr>
    </w:tbl>
    <w:p w:rsidR="00A77B3E" w:rsidRDefault="006306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0"/>
      </w:tblGrid>
      <w:tr w:rsidR="001758C1">
        <w:tc>
          <w:tcPr>
            <w:tcW w:w="0" w:type="auto"/>
            <w:shd w:val="solid" w:color="F5F5F5" w:fill="F5F5F5"/>
            <w:tcMar>
              <w:top w:w="140" w:type="dxa"/>
              <w:left w:w="100" w:type="dxa"/>
              <w:bottom w:w="140" w:type="dxa"/>
              <w:right w:w="100" w:type="dxa"/>
            </w:tcMar>
          </w:tcPr>
          <w:p w:rsidR="00A77B3E" w:rsidRDefault="006306F6">
            <w:r>
              <w:rPr>
                <w:rFonts w:ascii="Calibri" w:eastAsia="Calibri" w:hAnsi="Calibri" w:cs="Calibri"/>
                <w:b/>
                <w:bCs/>
              </w:rPr>
              <w:t>Location &amp; Travel</w:t>
            </w:r>
          </w:p>
        </w:tc>
      </w:tr>
      <w:tr w:rsidR="001758C1">
        <w:tc>
          <w:tcPr>
            <w:tcW w:w="0" w:type="auto"/>
            <w:tcBorders>
              <w:bottom w:val="nil"/>
            </w:tcBorders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70"/>
            </w:tblGrid>
            <w:tr w:rsidR="001758C1">
              <w:tc>
                <w:tcPr>
                  <w:tcW w:w="0" w:type="auto"/>
                  <w:shd w:val="solid" w:color="E7F0F9" w:fill="E7F0F9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p w:rsidR="00A77B3E" w:rsidRDefault="006306F6">
                  <w:r>
                    <w:rPr>
                      <w:rFonts w:ascii="Calibri" w:eastAsia="Calibri" w:hAnsi="Calibri" w:cs="Calibri"/>
                    </w:rPr>
                    <w:t>Locations</w:t>
                  </w:r>
                </w:p>
              </w:tc>
            </w:tr>
            <w:tr w:rsidR="001758C1">
              <w:tc>
                <w:tcPr>
                  <w:tcW w:w="0" w:type="auto"/>
                  <w:shd w:val="clear" w:color="auto" w:fill="auto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Bangkok, Thailand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  <w:tr w:rsidR="001758C1">
        <w:tc>
          <w:tcPr>
            <w:tcW w:w="0" w:type="auto"/>
            <w:tcBorders>
              <w:top w:val="nil"/>
            </w:tcBorders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70"/>
            </w:tblGrid>
            <w:tr w:rsidR="001758C1">
              <w:tc>
                <w:tcPr>
                  <w:tcW w:w="0" w:type="auto"/>
                  <w:shd w:val="solid" w:color="E7F0F9" w:fill="E7F0F9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p w:rsidR="00A77B3E" w:rsidRDefault="006306F6">
                  <w:r>
                    <w:rPr>
                      <w:rFonts w:ascii="Calibri" w:eastAsia="Calibri" w:hAnsi="Calibri" w:cs="Calibri"/>
                    </w:rPr>
                    <w:t>Travel</w:t>
                  </w:r>
                </w:p>
              </w:tc>
            </w:tr>
            <w:tr w:rsidR="001758C1">
              <w:tc>
                <w:tcPr>
                  <w:tcW w:w="0" w:type="auto"/>
                  <w:shd w:val="clear" w:color="auto" w:fill="auto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No Travel Required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</w:tbl>
    <w:p w:rsidR="00A77B3E" w:rsidRDefault="006306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0"/>
      </w:tblGrid>
      <w:tr w:rsidR="001758C1">
        <w:tc>
          <w:tcPr>
            <w:tcW w:w="0" w:type="auto"/>
            <w:shd w:val="solid" w:color="F5F5F5" w:fill="F5F5F5"/>
            <w:tcMar>
              <w:top w:w="140" w:type="dxa"/>
              <w:left w:w="100" w:type="dxa"/>
              <w:bottom w:w="140" w:type="dxa"/>
              <w:right w:w="100" w:type="dxa"/>
            </w:tcMar>
          </w:tcPr>
          <w:p w:rsidR="00A77B3E" w:rsidRDefault="006306F6">
            <w:r>
              <w:rPr>
                <w:rFonts w:ascii="Calibri" w:eastAsia="Calibri" w:hAnsi="Calibri" w:cs="Calibri"/>
                <w:b/>
                <w:bCs/>
              </w:rPr>
              <w:t xml:space="preserve">Reports to: Direct </w:t>
            </w:r>
            <w:r>
              <w:rPr>
                <w:rFonts w:ascii="Calibri" w:eastAsia="Calibri" w:hAnsi="Calibri" w:cs="Calibri"/>
                <w:b/>
                <w:bCs/>
              </w:rPr>
              <w:t>Supervisor (Title)</w:t>
            </w:r>
          </w:p>
        </w:tc>
      </w:tr>
      <w:tr w:rsidR="001758C1">
        <w:tc>
          <w:tcPr>
            <w:tcW w:w="0" w:type="auto"/>
            <w:tcMar>
              <w:top w:w="200" w:type="dxa"/>
              <w:left w:w="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40"/>
            </w:tblGrid>
            <w:tr w:rsidR="001758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24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Assessment Account Manager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</w:tbl>
    <w:p w:rsidR="00A77B3E" w:rsidRDefault="006306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0"/>
      </w:tblGrid>
      <w:tr w:rsidR="001758C1">
        <w:tc>
          <w:tcPr>
            <w:tcW w:w="0" w:type="auto"/>
            <w:shd w:val="solid" w:color="F5F5F5" w:fill="F5F5F5"/>
            <w:tcMar>
              <w:top w:w="140" w:type="dxa"/>
              <w:left w:w="100" w:type="dxa"/>
              <w:bottom w:w="140" w:type="dxa"/>
              <w:right w:w="100" w:type="dxa"/>
            </w:tcMar>
          </w:tcPr>
          <w:p w:rsidR="00A77B3E" w:rsidRDefault="006306F6">
            <w:r>
              <w:rPr>
                <w:rFonts w:ascii="Calibri" w:eastAsia="Calibri" w:hAnsi="Calibri" w:cs="Calibri"/>
                <w:b/>
                <w:bCs/>
              </w:rPr>
              <w:t>Reports to: Matrix Supervisor - (Title)</w:t>
            </w:r>
          </w:p>
        </w:tc>
      </w:tr>
      <w:tr w:rsidR="001758C1">
        <w:tc>
          <w:tcPr>
            <w:tcW w:w="0" w:type="auto"/>
            <w:tcMar>
              <w:top w:w="200" w:type="dxa"/>
              <w:left w:w="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40"/>
            </w:tblGrid>
            <w:tr w:rsidR="001758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58C1" w:rsidRDefault="001758C1"/>
              </w:tc>
            </w:tr>
          </w:tbl>
          <w:p w:rsidR="001758C1" w:rsidRDefault="001758C1"/>
        </w:tc>
      </w:tr>
    </w:tbl>
    <w:p w:rsidR="00A77B3E" w:rsidRDefault="006306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0"/>
      </w:tblGrid>
      <w:tr w:rsidR="001758C1">
        <w:tc>
          <w:tcPr>
            <w:tcW w:w="0" w:type="auto"/>
            <w:shd w:val="solid" w:color="F5F5F5" w:fill="F5F5F5"/>
            <w:tcMar>
              <w:top w:w="140" w:type="dxa"/>
              <w:left w:w="100" w:type="dxa"/>
              <w:bottom w:w="140" w:type="dxa"/>
              <w:right w:w="100" w:type="dxa"/>
            </w:tcMar>
          </w:tcPr>
          <w:p w:rsidR="00A77B3E" w:rsidRDefault="006306F6">
            <w:r>
              <w:rPr>
                <w:rFonts w:ascii="Calibri" w:eastAsia="Calibri" w:hAnsi="Calibri" w:cs="Calibri"/>
                <w:b/>
                <w:bCs/>
              </w:rPr>
              <w:t>Role Summary</w:t>
            </w:r>
          </w:p>
        </w:tc>
      </w:tr>
      <w:tr w:rsidR="001758C1">
        <w:tc>
          <w:tcPr>
            <w:tcW w:w="0" w:type="auto"/>
            <w:tcMar>
              <w:top w:w="200" w:type="dxa"/>
              <w:left w:w="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40"/>
            </w:tblGrid>
            <w:tr w:rsidR="001758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24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 xml:space="preserve">This position provides administrative, clerical, facilities and/or operational support work for the Functional Unit including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management team members. The position performs work which supports the daily office operations and consists of a variety of tasks, processes or operations.</w:t>
                        </w:r>
                        <w:r>
                          <w:rPr>
                            <w:rFonts w:ascii="Calibri" w:eastAsia="Calibri" w:hAnsi="Calibri" w:cs="Calibri"/>
                          </w:rPr>
                          <w:br/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</w:tbl>
    <w:p w:rsidR="00A77B3E" w:rsidRDefault="006306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0"/>
      </w:tblGrid>
      <w:tr w:rsidR="001758C1">
        <w:tc>
          <w:tcPr>
            <w:tcW w:w="0" w:type="auto"/>
            <w:shd w:val="solid" w:color="F5F5F5" w:fill="F5F5F5"/>
            <w:tcMar>
              <w:top w:w="140" w:type="dxa"/>
              <w:left w:w="100" w:type="dxa"/>
              <w:bottom w:w="140" w:type="dxa"/>
              <w:right w:w="100" w:type="dxa"/>
            </w:tcMar>
          </w:tcPr>
          <w:p w:rsidR="00A77B3E" w:rsidRDefault="006306F6">
            <w:r>
              <w:rPr>
                <w:rFonts w:ascii="Calibri" w:eastAsia="Calibri" w:hAnsi="Calibri" w:cs="Calibri"/>
                <w:b/>
                <w:bCs/>
              </w:rPr>
              <w:t>Essential Functions</w:t>
            </w:r>
          </w:p>
        </w:tc>
      </w:tr>
      <w:tr w:rsidR="001758C1">
        <w:tc>
          <w:tcPr>
            <w:tcW w:w="0" w:type="auto"/>
            <w:tcMar>
              <w:top w:w="200" w:type="dxa"/>
              <w:left w:w="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40"/>
            </w:tblGrid>
            <w:tr w:rsidR="001758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24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 xml:space="preserve">• Serves as the first point-of-contact for all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communications for the Functional Unit management team. Responds to phone and email inquiries and escalates non-standard issues as needed. Acts as departmental </w:t>
                        </w:r>
                        <w:r>
                          <w:rPr>
                            <w:rFonts w:ascii="Calibri" w:eastAsia="Calibri" w:hAnsi="Calibri" w:cs="Calibri"/>
                          </w:rPr>
                          <w:lastRenderedPageBreak/>
                          <w:t>point of contact for internal stakeholders and external clients. Duties may include new hire set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up, inspecting office space, corresponding with building facilities staff, and addressing regular maintenance.</w:t>
                        </w:r>
                      </w:p>
                    </w:tc>
                  </w:tr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lastRenderedPageBreak/>
                          <w:t>• Administers payment requests and invoices for the Functional Unit. Duties may include scheduling payments, assisting with the creation of bud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gets, initiating payments to vendors, recommending associated best practices, and processing payments made to the office/department.</w:t>
                        </w:r>
                      </w:p>
                    </w:tc>
                  </w:tr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• Performs administrative tasks related to travel management and Concur support for new hires. Duties may include maintain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ing organizational systems, associated profiles, and necessary orientation for new team members.</w:t>
                        </w:r>
                      </w:p>
                    </w:tc>
                  </w:tr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• Serves as primary back up to Office Services Assistants. Duties may include meeting space, and/or tech support, providing general office support and serving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as mailroom and reception back up.</w:t>
                        </w:r>
                      </w:p>
                    </w:tc>
                  </w:tr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• Other tasks as assigned by supervisors.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</w:tbl>
    <w:p w:rsidR="00A77B3E" w:rsidRDefault="006306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0"/>
      </w:tblGrid>
      <w:tr w:rsidR="001758C1">
        <w:tc>
          <w:tcPr>
            <w:tcW w:w="0" w:type="auto"/>
            <w:shd w:val="solid" w:color="F5F5F5" w:fill="F5F5F5"/>
            <w:tcMar>
              <w:top w:w="140" w:type="dxa"/>
              <w:left w:w="100" w:type="dxa"/>
              <w:bottom w:w="140" w:type="dxa"/>
              <w:right w:w="100" w:type="dxa"/>
            </w:tcMar>
          </w:tcPr>
          <w:p w:rsidR="00A77B3E" w:rsidRDefault="006306F6">
            <w:r>
              <w:rPr>
                <w:rFonts w:ascii="Calibri" w:eastAsia="Calibri" w:hAnsi="Calibri" w:cs="Calibri"/>
                <w:b/>
                <w:bCs/>
              </w:rPr>
              <w:t>IIE Job Dimensions</w:t>
            </w:r>
          </w:p>
        </w:tc>
      </w:tr>
      <w:tr w:rsidR="001758C1">
        <w:tc>
          <w:tcPr>
            <w:tcW w:w="0" w:type="auto"/>
            <w:tcBorders>
              <w:bottom w:val="nil"/>
            </w:tcBorders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70"/>
            </w:tblGrid>
            <w:tr w:rsidR="001758C1">
              <w:tc>
                <w:tcPr>
                  <w:tcW w:w="0" w:type="auto"/>
                  <w:shd w:val="solid" w:color="E7F0F9" w:fill="E7F0F9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p w:rsidR="00A77B3E" w:rsidRDefault="006306F6">
                  <w:r>
                    <w:rPr>
                      <w:rFonts w:ascii="Calibri" w:eastAsia="Calibri" w:hAnsi="Calibri" w:cs="Calibri"/>
                    </w:rPr>
                    <w:t>Decision Making</w:t>
                  </w:r>
                </w:p>
              </w:tc>
            </w:tr>
            <w:tr w:rsidR="001758C1">
              <w:tc>
                <w:tcPr>
                  <w:tcW w:w="0" w:type="auto"/>
                  <w:shd w:val="clear" w:color="auto" w:fill="auto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 xml:space="preserve">A. Follows specific and well-defined instructions, policies and operating procedures to perform its work assignments. Makes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limited decisions in carrying out work tasks which are repetitive and directly related.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  <w:tr w:rsidR="001758C1">
        <w:tc>
          <w:tcPr>
            <w:tcW w:w="0" w:type="auto"/>
            <w:tcBorders>
              <w:top w:val="nil"/>
              <w:bottom w:val="nil"/>
            </w:tcBorders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70"/>
            </w:tblGrid>
            <w:tr w:rsidR="001758C1">
              <w:tc>
                <w:tcPr>
                  <w:tcW w:w="0" w:type="auto"/>
                  <w:shd w:val="solid" w:color="E7F0F9" w:fill="E7F0F9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p w:rsidR="00A77B3E" w:rsidRDefault="006306F6">
                  <w:r>
                    <w:rPr>
                      <w:rFonts w:ascii="Calibri" w:eastAsia="Calibri" w:hAnsi="Calibri" w:cs="Calibri"/>
                    </w:rPr>
                    <w:t>Financial Management</w:t>
                  </w:r>
                </w:p>
              </w:tc>
            </w:tr>
            <w:tr w:rsidR="001758C1">
              <w:tc>
                <w:tcPr>
                  <w:tcW w:w="0" w:type="auto"/>
                  <w:shd w:val="clear" w:color="auto" w:fill="auto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 xml:space="preserve">B. Makes routine payments (i.e. participants, partners), handles mini-procurements and makes low-cost expenditures with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appropriate supervisory approval.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  <w:tr w:rsidR="001758C1">
        <w:tc>
          <w:tcPr>
            <w:tcW w:w="0" w:type="auto"/>
            <w:tcBorders>
              <w:top w:val="nil"/>
              <w:bottom w:val="nil"/>
            </w:tcBorders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70"/>
            </w:tblGrid>
            <w:tr w:rsidR="001758C1">
              <w:tc>
                <w:tcPr>
                  <w:tcW w:w="0" w:type="auto"/>
                  <w:shd w:val="solid" w:color="E7F0F9" w:fill="E7F0F9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p w:rsidR="00A77B3E" w:rsidRDefault="006306F6">
                  <w:r>
                    <w:rPr>
                      <w:rFonts w:ascii="Calibri" w:eastAsia="Calibri" w:hAnsi="Calibri" w:cs="Calibri"/>
                    </w:rPr>
                    <w:t>Interactions/Types of Contacts</w:t>
                  </w:r>
                </w:p>
              </w:tc>
            </w:tr>
            <w:tr w:rsidR="001758C1">
              <w:tc>
                <w:tcPr>
                  <w:tcW w:w="0" w:type="auto"/>
                  <w:shd w:val="clear" w:color="auto" w:fill="auto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 xml:space="preserve">B. Regularly interacts with team members both within and outside of their department. Has infrequent contact outside IIE, including but not limited to clients,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participants, and partners in carrying out their work assignments.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  <w:tr w:rsidR="001758C1">
        <w:tc>
          <w:tcPr>
            <w:tcW w:w="0" w:type="auto"/>
            <w:tcBorders>
              <w:top w:val="nil"/>
              <w:bottom w:val="nil"/>
            </w:tcBorders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70"/>
            </w:tblGrid>
            <w:tr w:rsidR="001758C1">
              <w:tc>
                <w:tcPr>
                  <w:tcW w:w="0" w:type="auto"/>
                  <w:shd w:val="solid" w:color="E7F0F9" w:fill="E7F0F9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p w:rsidR="00A77B3E" w:rsidRDefault="006306F6">
                  <w:r>
                    <w:rPr>
                      <w:rFonts w:ascii="Calibri" w:eastAsia="Calibri" w:hAnsi="Calibri" w:cs="Calibri"/>
                    </w:rPr>
                    <w:t>Interactions/Purpose of Contact</w:t>
                  </w:r>
                </w:p>
              </w:tc>
            </w:tr>
            <w:tr w:rsidR="001758C1">
              <w:tc>
                <w:tcPr>
                  <w:tcW w:w="0" w:type="auto"/>
                  <w:shd w:val="clear" w:color="auto" w:fill="auto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 xml:space="preserve">A. Exchanges general information in carrying out work assignments and/or acts as a liaison (i.e. arranges and schedules meetings).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Interactions with others are primarily informative in nature.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  <w:tr w:rsidR="001758C1">
        <w:tc>
          <w:tcPr>
            <w:tcW w:w="0" w:type="auto"/>
            <w:tcBorders>
              <w:top w:val="nil"/>
              <w:bottom w:val="nil"/>
            </w:tcBorders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70"/>
            </w:tblGrid>
            <w:tr w:rsidR="001758C1">
              <w:tc>
                <w:tcPr>
                  <w:tcW w:w="0" w:type="auto"/>
                  <w:shd w:val="solid" w:color="E7F0F9" w:fill="E7F0F9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p w:rsidR="00A77B3E" w:rsidRDefault="006306F6">
                  <w:r>
                    <w:rPr>
                      <w:rFonts w:ascii="Calibri" w:eastAsia="Calibri" w:hAnsi="Calibri" w:cs="Calibri"/>
                    </w:rPr>
                    <w:t>Focus of Work</w:t>
                  </w:r>
                </w:p>
              </w:tc>
            </w:tr>
            <w:tr w:rsidR="001758C1">
              <w:tc>
                <w:tcPr>
                  <w:tcW w:w="0" w:type="auto"/>
                  <w:shd w:val="clear" w:color="auto" w:fill="auto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lastRenderedPageBreak/>
                          <w:t>A. Work focuses primarily on executing specific work tasks in support of departmental goals.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  <w:tr w:rsidR="001758C1">
        <w:tc>
          <w:tcPr>
            <w:tcW w:w="0" w:type="auto"/>
            <w:tcBorders>
              <w:top w:val="nil"/>
              <w:bottom w:val="nil"/>
            </w:tcBorders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70"/>
            </w:tblGrid>
            <w:tr w:rsidR="001758C1">
              <w:tc>
                <w:tcPr>
                  <w:tcW w:w="0" w:type="auto"/>
                  <w:shd w:val="solid" w:color="E7F0F9" w:fill="E7F0F9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p w:rsidR="00A77B3E" w:rsidRDefault="006306F6">
                  <w:r>
                    <w:rPr>
                      <w:rFonts w:ascii="Calibri" w:eastAsia="Calibri" w:hAnsi="Calibri" w:cs="Calibri"/>
                    </w:rPr>
                    <w:lastRenderedPageBreak/>
                    <w:t>People Management</w:t>
                  </w:r>
                </w:p>
              </w:tc>
            </w:tr>
            <w:tr w:rsidR="001758C1">
              <w:tc>
                <w:tcPr>
                  <w:tcW w:w="0" w:type="auto"/>
                  <w:shd w:val="clear" w:color="auto" w:fill="auto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 xml:space="preserve">A. Does not provide work guidance or direction to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team members.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  <w:tr w:rsidR="001758C1">
        <w:tc>
          <w:tcPr>
            <w:tcW w:w="0" w:type="auto"/>
            <w:tcBorders>
              <w:top w:val="nil"/>
              <w:bottom w:val="nil"/>
            </w:tcBorders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70"/>
            </w:tblGrid>
            <w:tr w:rsidR="001758C1">
              <w:tc>
                <w:tcPr>
                  <w:tcW w:w="0" w:type="auto"/>
                  <w:shd w:val="solid" w:color="E7F0F9" w:fill="E7F0F9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p w:rsidR="00A77B3E" w:rsidRDefault="006306F6">
                  <w:r>
                    <w:rPr>
                      <w:rFonts w:ascii="Calibri" w:eastAsia="Calibri" w:hAnsi="Calibri" w:cs="Calibri"/>
                    </w:rPr>
                    <w:t>Work Requirements/Formal Education</w:t>
                  </w:r>
                </w:p>
              </w:tc>
            </w:tr>
            <w:tr w:rsidR="001758C1">
              <w:tc>
                <w:tcPr>
                  <w:tcW w:w="0" w:type="auto"/>
                  <w:shd w:val="clear" w:color="auto" w:fill="auto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D. Requires a Bachelor’s degree in order to apply a working knowledge of the theories and principles in a specialized field or work discipline.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  <w:tr w:rsidR="001758C1">
        <w:tc>
          <w:tcPr>
            <w:tcW w:w="0" w:type="auto"/>
            <w:tcBorders>
              <w:top w:val="nil"/>
              <w:bottom w:val="nil"/>
            </w:tcBorders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70"/>
            </w:tblGrid>
            <w:tr w:rsidR="001758C1">
              <w:tc>
                <w:tcPr>
                  <w:tcW w:w="0" w:type="auto"/>
                  <w:shd w:val="solid" w:color="E7F0F9" w:fill="E7F0F9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p w:rsidR="00A77B3E" w:rsidRDefault="006306F6">
                  <w:r>
                    <w:rPr>
                      <w:rFonts w:ascii="Calibri" w:eastAsia="Calibri" w:hAnsi="Calibri" w:cs="Calibri"/>
                    </w:rPr>
                    <w:t>Work Requirements/Work Experience</w:t>
                  </w:r>
                </w:p>
              </w:tc>
            </w:tr>
            <w:tr w:rsidR="001758C1">
              <w:tc>
                <w:tcPr>
                  <w:tcW w:w="0" w:type="auto"/>
                  <w:shd w:val="clear" w:color="auto" w:fill="auto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 xml:space="preserve">A.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Requires no prior related work experience.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  <w:tr w:rsidR="001758C1">
        <w:tc>
          <w:tcPr>
            <w:tcW w:w="0" w:type="auto"/>
            <w:tcBorders>
              <w:top w:val="nil"/>
            </w:tcBorders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70"/>
            </w:tblGrid>
            <w:tr w:rsidR="001758C1">
              <w:tc>
                <w:tcPr>
                  <w:tcW w:w="0" w:type="auto"/>
                  <w:shd w:val="solid" w:color="E7F0F9" w:fill="E7F0F9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p w:rsidR="00A77B3E" w:rsidRDefault="006306F6">
                  <w:r>
                    <w:rPr>
                      <w:rFonts w:ascii="Calibri" w:eastAsia="Calibri" w:hAnsi="Calibri" w:cs="Calibri"/>
                    </w:rPr>
                    <w:t>Level of Knowledge</w:t>
                  </w:r>
                </w:p>
              </w:tc>
            </w:tr>
            <w:tr w:rsidR="001758C1">
              <w:tc>
                <w:tcPr>
                  <w:tcW w:w="0" w:type="auto"/>
                  <w:shd w:val="clear" w:color="auto" w:fill="auto"/>
                  <w:tcMar>
                    <w:top w:w="140" w:type="dxa"/>
                    <w:left w:w="100" w:type="dxa"/>
                    <w:bottom w:w="14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470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B. Requires a basic application of a specialized body of knowledge. At this level of competency, a team member is required to apply knowledge in carrying out work assignments.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</w:tbl>
    <w:p w:rsidR="00A77B3E" w:rsidRDefault="006306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0"/>
      </w:tblGrid>
      <w:tr w:rsidR="001758C1">
        <w:tc>
          <w:tcPr>
            <w:tcW w:w="0" w:type="auto"/>
            <w:shd w:val="solid" w:color="F5F5F5" w:fill="F5F5F5"/>
            <w:tcMar>
              <w:top w:w="140" w:type="dxa"/>
              <w:left w:w="100" w:type="dxa"/>
              <w:bottom w:w="140" w:type="dxa"/>
              <w:right w:w="100" w:type="dxa"/>
            </w:tcMar>
          </w:tcPr>
          <w:p w:rsidR="00A77B3E" w:rsidRDefault="006306F6">
            <w:r>
              <w:rPr>
                <w:rFonts w:ascii="Calibri" w:eastAsia="Calibri" w:hAnsi="Calibri" w:cs="Calibri"/>
                <w:b/>
                <w:bCs/>
              </w:rPr>
              <w:t>Other Knowledge, Skills, and Abilities</w:t>
            </w:r>
          </w:p>
        </w:tc>
      </w:tr>
      <w:tr w:rsidR="001758C1">
        <w:tc>
          <w:tcPr>
            <w:tcW w:w="0" w:type="auto"/>
            <w:tcMar>
              <w:top w:w="200" w:type="dxa"/>
              <w:left w:w="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40"/>
            </w:tblGrid>
            <w:tr w:rsidR="001758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24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• Must possess minimum TOEFL ITP score of 500.</w:t>
                        </w:r>
                      </w:p>
                    </w:tc>
                  </w:tr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• Excellent interpersonal and communication skills, both written and verbal, in both English and Thai.</w:t>
                        </w:r>
                      </w:p>
                    </w:tc>
                  </w:tr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• Good organization skills with high attention to detail.</w:t>
                        </w:r>
                      </w:p>
                    </w:tc>
                  </w:tr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• 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Ability to maintain confidentiality for sensitive departmental issues.</w:t>
                        </w:r>
                      </w:p>
                    </w:tc>
                  </w:tr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• Ability to work well under pressure and meet deadlines.</w:t>
                        </w:r>
                      </w:p>
                    </w:tc>
                  </w:tr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• Strong customer service and interpersonal skills.</w:t>
                        </w:r>
                      </w:p>
                    </w:tc>
                  </w:tr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>• Proficiency with MS Office applications including Word, Excel, Power P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oint and Outlook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</w:tbl>
    <w:p w:rsidR="00A77B3E" w:rsidRDefault="006306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0"/>
      </w:tblGrid>
      <w:tr w:rsidR="001758C1">
        <w:tc>
          <w:tcPr>
            <w:tcW w:w="0" w:type="auto"/>
            <w:shd w:val="solid" w:color="F5F5F5" w:fill="F5F5F5"/>
            <w:tcMar>
              <w:top w:w="140" w:type="dxa"/>
              <w:left w:w="100" w:type="dxa"/>
              <w:bottom w:w="140" w:type="dxa"/>
              <w:right w:w="100" w:type="dxa"/>
            </w:tcMar>
          </w:tcPr>
          <w:p w:rsidR="00A77B3E" w:rsidRDefault="006306F6">
            <w:r>
              <w:rPr>
                <w:rFonts w:ascii="Calibri" w:eastAsia="Calibri" w:hAnsi="Calibri" w:cs="Calibri"/>
                <w:b/>
                <w:bCs/>
              </w:rPr>
              <w:t>Work Conditions &amp; Physical Demands</w:t>
            </w:r>
          </w:p>
        </w:tc>
      </w:tr>
      <w:tr w:rsidR="001758C1">
        <w:tc>
          <w:tcPr>
            <w:tcW w:w="0" w:type="auto"/>
            <w:tcMar>
              <w:top w:w="200" w:type="dxa"/>
              <w:left w:w="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40"/>
            </w:tblGrid>
            <w:tr w:rsidR="001758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24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Essential functions are performed in a general office setting with low noise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. Job demands may require long periods of sitting; telephone work and/or computer work, as well as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interactions with other team members and external stakeholders. Reasonable accommodations may be made to enable individuals with disabilities to perform the essential functions.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</w:tbl>
    <w:p w:rsidR="00A77B3E" w:rsidRDefault="006306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0"/>
      </w:tblGrid>
      <w:tr w:rsidR="001758C1">
        <w:tc>
          <w:tcPr>
            <w:tcW w:w="0" w:type="auto"/>
            <w:shd w:val="solid" w:color="F5F5F5" w:fill="F5F5F5"/>
            <w:tcMar>
              <w:top w:w="140" w:type="dxa"/>
              <w:left w:w="100" w:type="dxa"/>
              <w:bottom w:w="140" w:type="dxa"/>
              <w:right w:w="100" w:type="dxa"/>
            </w:tcMar>
          </w:tcPr>
          <w:p w:rsidR="00A77B3E" w:rsidRDefault="006306F6">
            <w:r>
              <w:rPr>
                <w:rFonts w:ascii="Calibri" w:eastAsia="Calibri" w:hAnsi="Calibri" w:cs="Calibri"/>
                <w:b/>
                <w:bCs/>
              </w:rPr>
              <w:t>EEO</w:t>
            </w:r>
          </w:p>
        </w:tc>
      </w:tr>
      <w:tr w:rsidR="001758C1">
        <w:tc>
          <w:tcPr>
            <w:tcW w:w="0" w:type="auto"/>
            <w:tcMar>
              <w:top w:w="200" w:type="dxa"/>
              <w:left w:w="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40"/>
            </w:tblGrid>
            <w:tr w:rsidR="001758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24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 xml:space="preserve">IIE is an equal opportunity employer. All qualified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applicants will receive consideration for employment without regard to race, color, religion, sex, sexual orientation, gender identity, national origin, disability or veteran status.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</w:tbl>
    <w:p w:rsidR="00A77B3E" w:rsidRDefault="006306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0"/>
      </w:tblGrid>
      <w:tr w:rsidR="001758C1">
        <w:tc>
          <w:tcPr>
            <w:tcW w:w="0" w:type="auto"/>
            <w:shd w:val="solid" w:color="F5F5F5" w:fill="F5F5F5"/>
            <w:tcMar>
              <w:top w:w="140" w:type="dxa"/>
              <w:left w:w="100" w:type="dxa"/>
              <w:bottom w:w="140" w:type="dxa"/>
              <w:right w:w="100" w:type="dxa"/>
            </w:tcMar>
          </w:tcPr>
          <w:p w:rsidR="00A77B3E" w:rsidRDefault="006306F6">
            <w:r>
              <w:rPr>
                <w:rFonts w:ascii="Calibri" w:eastAsia="Calibri" w:hAnsi="Calibri" w:cs="Calibri"/>
                <w:b/>
                <w:bCs/>
              </w:rPr>
              <w:t>Disclaimer</w:t>
            </w:r>
          </w:p>
        </w:tc>
      </w:tr>
      <w:tr w:rsidR="001758C1">
        <w:tc>
          <w:tcPr>
            <w:tcW w:w="0" w:type="auto"/>
            <w:tcMar>
              <w:top w:w="200" w:type="dxa"/>
              <w:left w:w="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40"/>
            </w:tblGrid>
            <w:tr w:rsidR="001758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24"/>
                  </w:tblGrid>
                  <w:tr w:rsidR="001758C1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7B3E" w:rsidRDefault="006306F6">
                        <w:r>
                          <w:rPr>
                            <w:rFonts w:ascii="Calibri" w:eastAsia="Calibri" w:hAnsi="Calibri" w:cs="Calibri"/>
                          </w:rPr>
                          <w:t xml:space="preserve">This document is not an exhaustive list of all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functions that the incumbent is expected to perform, but is instead a summary of the primary responsibilities and requirements of the job. The incumbent may be asked to perform duties not included in this job description. IIE reserves the right to revise j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ob descriptions at any time based on changes to the required job responsibilities. Team members will be informed of any changes to their job responsibilities.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</w:tbl>
                <w:p w:rsidR="001758C1" w:rsidRDefault="001758C1"/>
              </w:tc>
            </w:tr>
          </w:tbl>
          <w:p w:rsidR="001758C1" w:rsidRDefault="001758C1"/>
        </w:tc>
      </w:tr>
    </w:tbl>
    <w:p w:rsidR="00A77B3E" w:rsidRDefault="006306F6"/>
    <w:p w:rsidR="00A77B3E" w:rsidRDefault="006306F6"/>
    <w:sectPr w:rsidR="00A77B3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6F6" w:rsidRDefault="006306F6">
      <w:r>
        <w:separator/>
      </w:r>
    </w:p>
  </w:endnote>
  <w:endnote w:type="continuationSeparator" w:id="0">
    <w:p w:rsidR="006306F6" w:rsidRDefault="0063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758C1">
      <w:tc>
        <w:tcPr>
          <w:tcW w:w="3596" w:type="dxa"/>
          <w:tcBorders>
            <w:top w:val="nil"/>
            <w:left w:val="nil"/>
            <w:bottom w:val="nil"/>
            <w:right w:val="nil"/>
          </w:tcBorders>
        </w:tcPr>
        <w:p w:rsidR="001758C1" w:rsidRDefault="006306F6">
          <w:r>
            <w:rPr>
              <w:rFonts w:ascii="Calibri" w:eastAsia="Calibri" w:hAnsi="Calibri" w:cs="Calibri"/>
            </w:rPr>
            <w:t>Created By: Andrew Martinez</w:t>
          </w:r>
        </w:p>
      </w:tc>
      <w:tc>
        <w:tcPr>
          <w:tcW w:w="3596" w:type="dxa"/>
          <w:tcBorders>
            <w:top w:val="nil"/>
            <w:left w:val="nil"/>
            <w:bottom w:val="nil"/>
            <w:right w:val="nil"/>
          </w:tcBorders>
        </w:tcPr>
        <w:p w:rsidR="001758C1" w:rsidRDefault="006306F6">
          <w:pPr>
            <w:jc w:val="center"/>
          </w:pPr>
          <w:r>
            <w:rPr>
              <w:rFonts w:ascii="Calibri" w:eastAsia="Calibri" w:hAnsi="Calibri" w:cs="Calibri"/>
            </w:rPr>
            <w:t>1/17/2019</w:t>
          </w:r>
        </w:p>
      </w:tc>
      <w:tc>
        <w:tcPr>
          <w:tcW w:w="3596" w:type="dxa"/>
          <w:tcBorders>
            <w:top w:val="nil"/>
            <w:left w:val="nil"/>
            <w:bottom w:val="nil"/>
            <w:right w:val="nil"/>
          </w:tcBorders>
        </w:tcPr>
        <w:p w:rsidR="001758C1" w:rsidRDefault="006306F6">
          <w:pPr>
            <w:jc w:val="right"/>
          </w:pPr>
          <w:r>
            <w:rPr>
              <w:rFonts w:ascii="Calibri" w:eastAsia="Calibri" w:hAnsi="Calibri" w:cs="Calibri"/>
            </w:rPr>
            <w:t>Version: 1</w:t>
          </w:r>
        </w:p>
      </w:tc>
    </w:tr>
  </w:tbl>
  <w:p w:rsidR="001758C1" w:rsidRDefault="001758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6F6" w:rsidRDefault="006306F6">
      <w:r>
        <w:separator/>
      </w:r>
    </w:p>
  </w:footnote>
  <w:footnote w:type="continuationSeparator" w:id="0">
    <w:p w:rsidR="006306F6" w:rsidRDefault="00630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C1"/>
    <w:rsid w:val="001758C1"/>
    <w:rsid w:val="006306F6"/>
    <w:rsid w:val="007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2D3E27-2345-41E3-B6BE-365C241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Sununta Trakulsap</dc:creator>
  <cp:lastModifiedBy>Sununta Trakulsap</cp:lastModifiedBy>
  <cp:revision>2</cp:revision>
  <dcterms:created xsi:type="dcterms:W3CDTF">2019-02-01T03:22:00Z</dcterms:created>
  <dcterms:modified xsi:type="dcterms:W3CDTF">2019-02-01T03:22:00Z</dcterms:modified>
</cp:coreProperties>
</file>